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default" w:ascii="黑体" w:hAnsi="黑体" w:eastAsia="黑体"/>
          <w:b/>
          <w:sz w:val="32"/>
          <w:szCs w:val="32"/>
        </w:rPr>
        <w:t>化</w:t>
      </w:r>
      <w:r>
        <w:rPr>
          <w:rFonts w:hint="eastAsia" w:ascii="黑体" w:hAnsi="黑体" w:eastAsia="黑体"/>
          <w:b/>
          <w:sz w:val="32"/>
          <w:szCs w:val="32"/>
        </w:rPr>
        <w:t>学学科核心素养</w:t>
      </w:r>
    </w:p>
    <w:tbl>
      <w:tblPr>
        <w:tblStyle w:val="4"/>
        <w:tblpPr w:leftFromText="180" w:rightFromText="180" w:horzAnchor="margin" w:tblpY="77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618"/>
        <w:gridCol w:w="1618"/>
        <w:gridCol w:w="1618"/>
        <w:gridCol w:w="1618"/>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Pr>
          <w:p>
            <w:pPr>
              <w:jc w:val="center"/>
              <w:rPr>
                <w:b/>
              </w:rPr>
            </w:pPr>
          </w:p>
        </w:tc>
        <w:tc>
          <w:tcPr>
            <w:tcW w:w="1618" w:type="dxa"/>
          </w:tcPr>
          <w:p>
            <w:pPr>
              <w:jc w:val="center"/>
              <w:rPr>
                <w:b/>
              </w:rPr>
            </w:pPr>
            <w:r>
              <w:rPr>
                <w:rFonts w:hint="eastAsia"/>
                <w:b/>
              </w:rPr>
              <w:t>宏观辨识与微观探析</w:t>
            </w:r>
          </w:p>
        </w:tc>
        <w:tc>
          <w:tcPr>
            <w:tcW w:w="1618" w:type="dxa"/>
          </w:tcPr>
          <w:p>
            <w:pPr>
              <w:jc w:val="center"/>
              <w:rPr>
                <w:b/>
              </w:rPr>
            </w:pPr>
            <w:r>
              <w:rPr>
                <w:rFonts w:hint="eastAsia"/>
                <w:b/>
              </w:rPr>
              <w:t>变化观念与平衡思想</w:t>
            </w:r>
          </w:p>
        </w:tc>
        <w:tc>
          <w:tcPr>
            <w:tcW w:w="1618" w:type="dxa"/>
          </w:tcPr>
          <w:p>
            <w:pPr>
              <w:jc w:val="center"/>
              <w:rPr>
                <w:b/>
              </w:rPr>
            </w:pPr>
            <w:r>
              <w:rPr>
                <w:rFonts w:hint="eastAsia"/>
                <w:b/>
              </w:rPr>
              <w:t>证据推理与模型认知</w:t>
            </w:r>
          </w:p>
        </w:tc>
        <w:tc>
          <w:tcPr>
            <w:tcW w:w="1618" w:type="dxa"/>
          </w:tcPr>
          <w:p>
            <w:pPr>
              <w:jc w:val="center"/>
              <w:rPr>
                <w:b/>
              </w:rPr>
            </w:pPr>
            <w:r>
              <w:rPr>
                <w:rFonts w:hint="eastAsia"/>
                <w:b/>
              </w:rPr>
              <w:t>实验探究与创新意识</w:t>
            </w:r>
          </w:p>
        </w:tc>
        <w:tc>
          <w:tcPr>
            <w:tcW w:w="1619" w:type="dxa"/>
          </w:tcPr>
          <w:p>
            <w:pPr>
              <w:tabs>
                <w:tab w:val="left" w:pos="464"/>
              </w:tabs>
              <w:jc w:val="center"/>
              <w:rPr>
                <w:rFonts w:hint="eastAsia"/>
                <w:b/>
              </w:rPr>
            </w:pPr>
            <w:r>
              <w:rPr>
                <w:rFonts w:hint="default"/>
                <w:b/>
              </w:rPr>
              <w:t>科学精神与社会责任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pPr>
              <w:jc w:val="center"/>
            </w:pPr>
            <w:r>
              <w:rPr>
                <w:rFonts w:hint="eastAsia"/>
              </w:rPr>
              <w:t>概念解读</w:t>
            </w:r>
          </w:p>
        </w:tc>
        <w:tc>
          <w:tcPr>
            <w:tcW w:w="1618" w:type="dxa"/>
          </w:tcPr>
          <w:p>
            <w:r>
              <w:t>是化学本质的直接体现，是对符号表征技能的理解和掌握。物质又宏观性质、微观结构和符号表达三种表征，体现化学理念“用途—性质—结构”的互相影响和作用。是学习有机化学的基础和关键。</w:t>
            </w:r>
          </w:p>
        </w:tc>
        <w:tc>
          <w:tcPr>
            <w:tcW w:w="1618" w:type="dxa"/>
          </w:tcPr>
          <w:p>
            <w:r>
              <w:t>是辩证唯物主义在化学学科中的重要体现，是一个整体的观念，不能分开，在认识和解决化学问题的时候，强调始态和终态两个点，重视物理量与化学量的参与，将抽象的反应具体化，化繁为简，透过现象抓本质，从而有效解决问题。</w:t>
            </w:r>
          </w:p>
        </w:tc>
        <w:tc>
          <w:tcPr>
            <w:tcW w:w="1618" w:type="dxa"/>
          </w:tcPr>
          <w:p>
            <w:r>
              <w:t>是化学教育价值的充分体现。能用化学语言对日常生活中的现象和问题进行针对性说明解释，既又对原理本质的理解表达，也有对个体价值的锻炼和培养。对教育主体来说是教育功能和价值的体现，对教育者来说是对学生化学能力的判断和表达，是教育评价的重要指标和参考。</w:t>
            </w:r>
          </w:p>
        </w:tc>
        <w:tc>
          <w:tcPr>
            <w:tcW w:w="1618" w:type="dxa"/>
          </w:tcPr>
          <w:p>
            <w:r>
              <w:t>是直观教学，表现化学只是原理，锻炼化学技能，包括操作仪器和化学解释，运用科学方法进行创新探究，贯穿提出问题—形成假设—合理解释，发挥学生的主体能动性，在实践中追求和验证科学。</w:t>
            </w:r>
          </w:p>
        </w:tc>
        <w:tc>
          <w:tcPr>
            <w:tcW w:w="1619" w:type="dxa"/>
          </w:tcPr>
          <w:p>
            <w:pPr>
              <w:rPr>
                <w:rFonts w:hint="eastAsia"/>
              </w:rPr>
            </w:pPr>
            <w:r>
              <w:rPr>
                <w:rFonts w:hint="default"/>
              </w:rPr>
              <w:t>是素质教育的重要组成部分，也是核心素养教育中的上层教育理念，科学探究精神是在实验探究过程中，经过长期的经验积累养成的一种优秀的思维方式和人格品质。科学探究精神的培养对于完善和激发学生的创新能力具有重要的指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pPr>
              <w:jc w:val="center"/>
              <w:rPr>
                <w:b/>
              </w:rPr>
            </w:pPr>
            <w:r>
              <w:rPr>
                <w:rFonts w:hint="eastAsia"/>
                <w:b/>
              </w:rPr>
              <w:t>具体内容</w:t>
            </w:r>
          </w:p>
        </w:tc>
        <w:tc>
          <w:tcPr>
            <w:tcW w:w="1618" w:type="dxa"/>
            <w:vAlign w:val="center"/>
          </w:tcPr>
          <w:p>
            <w:pPr>
              <w:jc w:val="center"/>
              <w:rPr>
                <w:b/>
              </w:rPr>
            </w:pPr>
            <w:r>
              <w:rPr>
                <w:b/>
              </w:rPr>
              <w:t>宏观性质</w:t>
            </w:r>
          </w:p>
          <w:p>
            <w:pPr>
              <w:jc w:val="center"/>
              <w:rPr>
                <w:b/>
              </w:rPr>
            </w:pPr>
            <w:r>
              <w:rPr>
                <w:b/>
              </w:rPr>
              <w:t>微观结构</w:t>
            </w:r>
          </w:p>
          <w:p>
            <w:pPr>
              <w:jc w:val="center"/>
              <w:rPr>
                <w:b/>
              </w:rPr>
            </w:pPr>
            <w:r>
              <w:rPr>
                <w:b/>
              </w:rPr>
              <w:t>符号表达</w:t>
            </w:r>
          </w:p>
        </w:tc>
        <w:tc>
          <w:tcPr>
            <w:tcW w:w="1618" w:type="dxa"/>
            <w:vAlign w:val="center"/>
          </w:tcPr>
          <w:p>
            <w:pPr>
              <w:jc w:val="center"/>
              <w:rPr>
                <w:b/>
              </w:rPr>
            </w:pPr>
            <w:r>
              <w:rPr>
                <w:b/>
              </w:rPr>
              <w:t>反应现象</w:t>
            </w:r>
          </w:p>
          <w:p>
            <w:pPr>
              <w:jc w:val="center"/>
              <w:rPr>
                <w:b/>
              </w:rPr>
            </w:pPr>
            <w:r>
              <w:rPr>
                <w:b/>
              </w:rPr>
              <w:t>能量转化</w:t>
            </w:r>
          </w:p>
          <w:p>
            <w:pPr>
              <w:jc w:val="center"/>
              <w:rPr>
                <w:b/>
              </w:rPr>
            </w:pPr>
            <w:r>
              <w:rPr>
                <w:b/>
              </w:rPr>
              <w:t>反应机理</w:t>
            </w:r>
          </w:p>
        </w:tc>
        <w:tc>
          <w:tcPr>
            <w:tcW w:w="1618" w:type="dxa"/>
            <w:vAlign w:val="center"/>
          </w:tcPr>
          <w:p>
            <w:pPr>
              <w:jc w:val="center"/>
              <w:rPr>
                <w:b/>
              </w:rPr>
            </w:pPr>
            <w:r>
              <w:rPr>
                <w:b/>
              </w:rPr>
              <w:t>收集证据</w:t>
            </w:r>
          </w:p>
          <w:p>
            <w:pPr>
              <w:jc w:val="center"/>
              <w:rPr>
                <w:b/>
              </w:rPr>
            </w:pPr>
            <w:r>
              <w:rPr>
                <w:b/>
              </w:rPr>
              <w:t>提出假设</w:t>
            </w:r>
          </w:p>
          <w:p>
            <w:pPr>
              <w:jc w:val="center"/>
              <w:rPr>
                <w:b/>
              </w:rPr>
            </w:pPr>
            <w:r>
              <w:rPr>
                <w:b/>
              </w:rPr>
              <w:t>分析推理</w:t>
            </w:r>
          </w:p>
          <w:p>
            <w:pPr>
              <w:jc w:val="center"/>
              <w:rPr>
                <w:b/>
              </w:rPr>
            </w:pPr>
            <w:r>
              <w:rPr>
                <w:b/>
              </w:rPr>
              <w:t>确定证据</w:t>
            </w:r>
          </w:p>
          <w:p>
            <w:pPr>
              <w:jc w:val="center"/>
              <w:rPr>
                <w:b/>
              </w:rPr>
            </w:pPr>
            <w:r>
              <w:rPr>
                <w:b/>
              </w:rPr>
              <w:t>建构模型</w:t>
            </w:r>
          </w:p>
        </w:tc>
        <w:tc>
          <w:tcPr>
            <w:tcW w:w="1618" w:type="dxa"/>
          </w:tcPr>
          <w:p>
            <w:pPr>
              <w:jc w:val="center"/>
              <w:rPr>
                <w:b/>
              </w:rPr>
            </w:pPr>
            <w:r>
              <w:rPr>
                <w:b/>
              </w:rPr>
              <w:t>提出问题</w:t>
            </w:r>
          </w:p>
          <w:p>
            <w:pPr>
              <w:jc w:val="center"/>
              <w:rPr>
                <w:b/>
              </w:rPr>
            </w:pPr>
            <w:r>
              <w:rPr>
                <w:b/>
              </w:rPr>
              <w:t>优化方案</w:t>
            </w:r>
          </w:p>
          <w:p>
            <w:pPr>
              <w:jc w:val="center"/>
              <w:rPr>
                <w:b/>
              </w:rPr>
            </w:pPr>
            <w:r>
              <w:rPr>
                <w:b/>
              </w:rPr>
              <w:t>实验分析</w:t>
            </w:r>
          </w:p>
          <w:p>
            <w:pPr>
              <w:jc w:val="center"/>
              <w:rPr>
                <w:b/>
              </w:rPr>
            </w:pPr>
            <w:r>
              <w:rPr>
                <w:b/>
              </w:rPr>
              <w:t>分享交流</w:t>
            </w:r>
          </w:p>
          <w:p>
            <w:pPr>
              <w:jc w:val="center"/>
            </w:pPr>
            <w:r>
              <w:rPr>
                <w:b/>
              </w:rPr>
              <w:t>改进措施</w:t>
            </w:r>
          </w:p>
        </w:tc>
        <w:tc>
          <w:tcPr>
            <w:tcW w:w="1619" w:type="dxa"/>
            <w:vAlign w:val="center"/>
          </w:tcPr>
          <w:p>
            <w:pPr>
              <w:jc w:val="center"/>
              <w:rPr>
                <w:b/>
              </w:rPr>
            </w:pPr>
            <w:r>
              <w:rPr>
                <w:b/>
              </w:rPr>
              <w:t>崇尚科学</w:t>
            </w:r>
          </w:p>
          <w:p>
            <w:pPr>
              <w:jc w:val="center"/>
              <w:rPr>
                <w:b/>
              </w:rPr>
            </w:pPr>
            <w:r>
              <w:rPr>
                <w:b/>
              </w:rPr>
              <w:t>绿色化学</w:t>
            </w:r>
          </w:p>
          <w:p>
            <w:pPr>
              <w:jc w:val="center"/>
            </w:pPr>
            <w:r>
              <w:rPr>
                <w:b/>
              </w:rPr>
              <w:t>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Pr>
          <w:p>
            <w:pPr>
              <w:rPr>
                <w:b/>
              </w:rPr>
            </w:pPr>
            <w:r>
              <w:rPr>
                <w:rFonts w:hint="eastAsia"/>
                <w:b/>
              </w:rPr>
              <w:t>重点强调</w:t>
            </w:r>
          </w:p>
        </w:tc>
        <w:tc>
          <w:tcPr>
            <w:tcW w:w="1618" w:type="dxa"/>
          </w:tcPr>
          <w:p>
            <w:r>
              <w:t>“宏微符”看似独立，实则联结通融，宏观表现象事实，微观表性质原理，符号则是组成的具体体现。</w:t>
            </w:r>
          </w:p>
        </w:tc>
        <w:tc>
          <w:tcPr>
            <w:tcW w:w="1618" w:type="dxa"/>
          </w:tcPr>
          <w:p>
            <w:r>
              <w:t>观念的渗透培养，不是知识的积累，技能的训练，而需要在长时间的磨砺，重视化学变化的条件、现象，强化守恒观念辩证分析。</w:t>
            </w:r>
          </w:p>
        </w:tc>
        <w:tc>
          <w:tcPr>
            <w:tcW w:w="1618" w:type="dxa"/>
          </w:tcPr>
          <w:p>
            <w:r>
              <w:t>对关键信息用化学概念及逻辑思维进行理论处理，形成具体清晰的概念脉络，纳入已有的只是系统中补充完善理论结构，同时反作用于已有经验的积累，对只是、技能和方法进行更新创造。</w:t>
            </w:r>
          </w:p>
        </w:tc>
        <w:tc>
          <w:tcPr>
            <w:tcW w:w="1618" w:type="dxa"/>
          </w:tcPr>
          <w:p>
            <w:r>
              <w:t>科学假设设立、科学模型构建是方法论的体现，贯穿于整个实验探究过程，是个体终身发展的关键能爱素养。</w:t>
            </w:r>
          </w:p>
        </w:tc>
        <w:tc>
          <w:tcPr>
            <w:tcW w:w="1619" w:type="dxa"/>
          </w:tcPr>
          <w:p>
            <w:pPr>
              <w:rPr>
                <w:rFonts w:hint="eastAsia"/>
              </w:rPr>
            </w:pPr>
            <w:r>
              <w:rPr>
                <w:rFonts w:hint="default"/>
              </w:rPr>
              <w:t>科学观察实施和科学结果反思更强调科学的价值弘扬，更是对“科教兴国”战略理念的重要体现，是学生培养创造性思维和进行创新活动的必备品格。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Pr>
          <w:p>
            <w:pPr>
              <w:rPr>
                <w:b/>
              </w:rPr>
            </w:pPr>
            <w:r>
              <w:rPr>
                <w:rFonts w:hint="eastAsia"/>
                <w:b/>
              </w:rPr>
              <w:t>相互关系</w:t>
            </w:r>
          </w:p>
        </w:tc>
        <w:tc>
          <w:tcPr>
            <w:tcW w:w="8091" w:type="dxa"/>
            <w:gridSpan w:val="5"/>
            <w:vAlign w:val="center"/>
          </w:tcPr>
          <w:p>
            <w:pPr>
              <w:rPr>
                <w:rFonts w:hint="eastAsia"/>
              </w:rPr>
            </w:pPr>
            <w:r>
              <w:rPr>
                <w:rFonts w:hint="eastAsia"/>
              </w:rPr>
              <w:t>化学核心素养教育首先强调关键能力的培养，能力是解决具体问题的综合体现。隐性能力资本需要广博的知识储蓄、熟练的基本技能及丰富的活动经验，对学生的思维方式具有极高的要求，关键的化学学科能力也必须具有学科特色。二是从培养必备品格出发，化学作为一门科学，科学素养的培养当然放在首要，科学素养包括科学态度、科学方法以及探究创新能力，严谨的科学态度、求实的创新精神，对树立学生的价值观具有重要的引领作用。</w:t>
            </w:r>
          </w:p>
        </w:tc>
      </w:tr>
    </w:tbl>
    <w:p/>
    <w:p>
      <w:pPr>
        <w:ind w:firstLine="601" w:firstLineChars="200"/>
        <w:jc w:val="center"/>
        <w:rPr>
          <w:b/>
          <w:sz w:val="30"/>
          <w:szCs w:val="30"/>
        </w:rPr>
      </w:pPr>
      <w:r>
        <w:rPr>
          <w:rFonts w:hint="default"/>
          <w:b/>
          <w:sz w:val="30"/>
          <w:szCs w:val="30"/>
        </w:rPr>
        <w:t>化学</w:t>
      </w:r>
      <w:r>
        <w:rPr>
          <w:rFonts w:hint="eastAsia"/>
          <w:b/>
          <w:sz w:val="30"/>
          <w:szCs w:val="30"/>
        </w:rPr>
        <w:t>学科核心素养的细化</w:t>
      </w:r>
    </w:p>
    <w:p>
      <w:pPr>
        <w:rPr>
          <w:rFonts w:hint="eastAsia"/>
        </w:rPr>
      </w:pPr>
      <w:r>
        <w:rPr>
          <w:rFonts w:hint="default"/>
        </w:rPr>
        <w:t>一、</w:t>
      </w:r>
      <w:r>
        <w:rPr>
          <w:rFonts w:hint="eastAsia"/>
          <w:b/>
        </w:rPr>
        <w:t>宏观辨识与微观探析</w:t>
      </w:r>
    </w:p>
    <w:p>
      <w:pPr>
        <w:ind w:firstLine="420" w:firstLineChars="200"/>
        <w:rPr>
          <w:rFonts w:hint="eastAsia"/>
        </w:rPr>
      </w:pPr>
      <w:r>
        <w:rPr>
          <w:rFonts w:hint="eastAsia"/>
        </w:rPr>
        <w:t>能通过观察、辨识一定条件下物质的形态及变化的宏观现象，初步掌握物质及其变化的分类方法，并能运用符号表征物质及其变化；能从物质的微观层面理解其组成、结构和性质的联系，形成“结构决定性质，性质决定应用”的观念；能根据物质的微观结构预测物质在特定条件下可能具有的性质和可能发生的变化。</w:t>
      </w:r>
    </w:p>
    <w:p>
      <w:pPr>
        <w:ind w:firstLine="420" w:firstLineChars="200"/>
        <w:rPr>
          <w:rFonts w:hint="eastAsia"/>
        </w:rPr>
      </w:pPr>
    </w:p>
    <w:p>
      <w:pPr>
        <w:numPr>
          <w:ilvl w:val="0"/>
          <w:numId w:val="1"/>
        </w:numPr>
        <w:rPr>
          <w:rFonts w:hint="eastAsia"/>
          <w:b/>
        </w:rPr>
      </w:pPr>
      <w:r>
        <w:rPr>
          <w:rFonts w:hint="eastAsia"/>
          <w:b/>
        </w:rPr>
        <w:t>变化观念与平衡思想</w:t>
      </w:r>
    </w:p>
    <w:p>
      <w:pPr>
        <w:ind w:firstLine="420" w:firstLineChars="200"/>
        <w:rPr>
          <w:rFonts w:hint="default"/>
        </w:rPr>
      </w:pPr>
      <w:r>
        <w:rPr>
          <w:rFonts w:hint="eastAsia"/>
        </w:rPr>
        <w:t>能认识物质是在不断运动的，物质的变化是有条件的；能从内因和外因、量变与质变等方面较全面地分析物质的化学变化，关注化学变化中的能量转化；能从不同视角对纷繁复杂的化学变化进行分类研究，逐步揭示各类变化的特征和规律；能用对立统一、联系发展和动态平衡的观点考察、分析化学反应，预测在一定条件某种物质可能发生的化学变化</w:t>
      </w:r>
      <w:r>
        <w:rPr>
          <w:rFonts w:hint="default"/>
        </w:rPr>
        <w:t>。</w:t>
      </w:r>
    </w:p>
    <w:p>
      <w:pPr>
        <w:numPr>
          <w:numId w:val="0"/>
        </w:numPr>
        <w:rPr>
          <w:rFonts w:hint="default"/>
          <w:b/>
        </w:rPr>
      </w:pPr>
    </w:p>
    <w:p>
      <w:pPr>
        <w:numPr>
          <w:numId w:val="0"/>
        </w:numPr>
        <w:rPr>
          <w:rFonts w:hint="eastAsia"/>
          <w:b/>
        </w:rPr>
      </w:pPr>
      <w:r>
        <w:rPr>
          <w:rFonts w:hint="default"/>
          <w:b/>
        </w:rPr>
        <w:t>三、</w:t>
      </w:r>
      <w:r>
        <w:rPr>
          <w:rFonts w:hint="eastAsia"/>
          <w:b/>
        </w:rPr>
        <w:t>证据推理与模型认知</w:t>
      </w:r>
    </w:p>
    <w:p>
      <w:pPr>
        <w:numPr>
          <w:numId w:val="0"/>
        </w:numPr>
        <w:ind w:firstLine="420" w:firstLineChars="200"/>
        <w:rPr>
          <w:rFonts w:hint="eastAsia"/>
          <w:b/>
        </w:rPr>
      </w:pPr>
      <w:bookmarkStart w:id="0" w:name="_GoBack"/>
      <w:bookmarkEnd w:id="0"/>
      <w:r>
        <w:rPr>
          <w:rFonts w:hint="eastAsia"/>
        </w:rPr>
        <w:t>能初步学会收集各种证据，对物质的性质及其变化提出可能的假设；基于证据进行分析推理，证实或证伪假设；能解释证据与结论之间的关系，确定形成科学结论所需要的证据和寻找证据的途径；能认识化学现象与模型之间的联系，能运用多种模型来描述和解释化学现象，预测物质及其变化的可能结果；能依据物质及其变化的信息建构模型，建立解决复杂化学问题的思维框架。</w:t>
      </w:r>
    </w:p>
    <w:p>
      <w:pPr>
        <w:numPr>
          <w:numId w:val="0"/>
        </w:numPr>
        <w:rPr>
          <w:rFonts w:hint="eastAsia"/>
          <w:b/>
        </w:rPr>
      </w:pPr>
    </w:p>
    <w:p>
      <w:pPr>
        <w:numPr>
          <w:ilvl w:val="0"/>
          <w:numId w:val="2"/>
        </w:numPr>
        <w:rPr>
          <w:rFonts w:hint="eastAsia"/>
          <w:b/>
        </w:rPr>
      </w:pPr>
      <w:r>
        <w:rPr>
          <w:rFonts w:hint="eastAsia"/>
          <w:b/>
        </w:rPr>
        <w:t>实验探究与创新意识</w:t>
      </w:r>
    </w:p>
    <w:p>
      <w:pPr>
        <w:ind w:firstLine="420" w:firstLineChars="200"/>
        <w:rPr>
          <w:rFonts w:hint="eastAsia"/>
        </w:rPr>
      </w:pPr>
      <w:r>
        <w:rPr>
          <w:rFonts w:hint="eastAsia"/>
        </w:rPr>
        <w:t>发现和提出有探究价值的化学问题，能依据探究目的设计并优化实验方案，完成实验操作，能对观察记录的实验信息进行加工并获得结论；能和同学交流实验探究的成果，提出进一步探究或改进实验的设想；能尊重事实和证据，不迷信权威，具有独立思考、敢于质疑和批判的创新精神。</w:t>
      </w:r>
    </w:p>
    <w:p>
      <w:pPr>
        <w:widowControl w:val="0"/>
        <w:numPr>
          <w:numId w:val="0"/>
        </w:numPr>
        <w:jc w:val="both"/>
        <w:rPr>
          <w:rFonts w:hint="eastAsia"/>
          <w:b/>
        </w:rPr>
      </w:pPr>
    </w:p>
    <w:p>
      <w:pPr>
        <w:widowControl w:val="0"/>
        <w:numPr>
          <w:ilvl w:val="0"/>
          <w:numId w:val="2"/>
        </w:numPr>
        <w:jc w:val="both"/>
        <w:rPr>
          <w:rFonts w:hint="default"/>
          <w:b/>
        </w:rPr>
      </w:pPr>
      <w:r>
        <w:rPr>
          <w:rFonts w:hint="default"/>
          <w:b/>
        </w:rPr>
        <w:t>科学精神与社会责任</w:t>
      </w:r>
    </w:p>
    <w:p>
      <w:pPr>
        <w:ind w:firstLine="420" w:firstLineChars="200"/>
        <w:rPr>
          <w:rFonts w:hint="eastAsia"/>
        </w:rPr>
      </w:pPr>
      <w:r>
        <w:rPr>
          <w:rFonts w:hint="eastAsia"/>
        </w:rPr>
        <w:t>具有终身学习的意识和严谨求实的科学态度；崇尚真理，形成真理面前人人平等的意识；关注与化学有关的社会热点问题，认识环境保护和资源合理开发的重要性，具有可持续发展意识和绿色化学观念；深刻理解化学、技术、社会和环境之间的相互关系，赞赏化学对社会发展的重大贡献，能运用已有知识和方法综合分析化学过程对自然可能带来的各种影响，权衡利弊，勇于承担责任，积极参与有关化学问题的社会决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黑体">
    <w:altName w:val="汉仪中黑KW"/>
    <w:panose1 w:val="02010609060101010101"/>
    <w:charset w:val="86"/>
    <w:family w:val="modern"/>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6F3DA"/>
    <w:multiLevelType w:val="singleLevel"/>
    <w:tmpl w:val="5F66F3DA"/>
    <w:lvl w:ilvl="0" w:tentative="0">
      <w:start w:val="2"/>
      <w:numFmt w:val="chineseCounting"/>
      <w:suff w:val="nothing"/>
      <w:lvlText w:val="%1、"/>
      <w:lvlJc w:val="left"/>
    </w:lvl>
  </w:abstractNum>
  <w:abstractNum w:abstractNumId="1">
    <w:nsid w:val="5F66F420"/>
    <w:multiLevelType w:val="singleLevel"/>
    <w:tmpl w:val="5F66F420"/>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E0381"/>
    <w:rsid w:val="77AE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Office_2.3.0.3701_F1E327BC-269C-435d-A152-05C5408002CA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2020-09-20T12:59:00Z</dcterms:created>
  <dc:creator>jinjia</dc:creator>
  <cp:lastModifiedBy>jinjia</cp:lastModifiedBy>
  <dcterms:modified xsi:type="dcterms:W3CDTF">2020-09-20T14:15:32Z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2052-2.3.0.3701</vt:lpwstr>
  </property>
</Properties>
</file>